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6F6326" w:rsidRDefault="006F6326" w:rsidP="008A22C6"/>
    <w:tbl>
      <w:tblPr>
        <w:tblStyle w:val="TableGrid"/>
        <w:tblW w:w="9924" w:type="dxa"/>
        <w:tblInd w:w="-318" w:type="dxa"/>
        <w:tblLook w:val="04A0" w:firstRow="1" w:lastRow="0" w:firstColumn="1" w:lastColumn="0" w:noHBand="0" w:noVBand="1"/>
      </w:tblPr>
      <w:tblGrid>
        <w:gridCol w:w="3574"/>
        <w:gridCol w:w="6350"/>
      </w:tblGrid>
      <w:tr w:rsidR="006F6326" w:rsidTr="007330D2">
        <w:tc>
          <w:tcPr>
            <w:tcW w:w="3574"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350" w:type="dxa"/>
          </w:tcPr>
          <w:p w:rsidR="00B87695" w:rsidRPr="007E700C" w:rsidRDefault="007E700C" w:rsidP="008A22C6">
            <w:pPr>
              <w:rPr>
                <w:rFonts w:ascii="Arial" w:hAnsi="Arial" w:cs="Arial"/>
              </w:rPr>
            </w:pPr>
            <w:r w:rsidRPr="007E700C">
              <w:rPr>
                <w:rFonts w:ascii="Arial" w:hAnsi="Arial" w:cs="Arial"/>
              </w:rPr>
              <w:t xml:space="preserve">Award of contract to Tesla for Energy </w:t>
            </w:r>
            <w:proofErr w:type="spellStart"/>
            <w:r w:rsidRPr="007E700C">
              <w:rPr>
                <w:rFonts w:ascii="Arial" w:hAnsi="Arial" w:cs="Arial"/>
              </w:rPr>
              <w:t>Superhub</w:t>
            </w:r>
            <w:proofErr w:type="spellEnd"/>
            <w:r w:rsidRPr="007E700C">
              <w:rPr>
                <w:rFonts w:ascii="Arial" w:hAnsi="Arial" w:cs="Arial"/>
              </w:rPr>
              <w:t xml:space="preserve"> Oxford DC Charging</w:t>
            </w:r>
          </w:p>
        </w:tc>
      </w:tr>
      <w:tr w:rsidR="006F6326" w:rsidTr="007330D2">
        <w:trPr>
          <w:trHeight w:val="372"/>
        </w:trPr>
        <w:tc>
          <w:tcPr>
            <w:tcW w:w="3574"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350" w:type="dxa"/>
          </w:tcPr>
          <w:p w:rsidR="00263039" w:rsidRPr="00A96C08" w:rsidRDefault="007E700C" w:rsidP="008A22C6">
            <w:pPr>
              <w:rPr>
                <w:rFonts w:ascii="Arial" w:hAnsi="Arial" w:cs="Arial"/>
              </w:rPr>
            </w:pPr>
            <w:r>
              <w:rPr>
                <w:rFonts w:ascii="Arial" w:hAnsi="Arial" w:cs="Arial"/>
              </w:rPr>
              <w:t>16 November 2021</w:t>
            </w:r>
          </w:p>
        </w:tc>
      </w:tr>
      <w:tr w:rsidR="00854133" w:rsidTr="007330D2">
        <w:tc>
          <w:tcPr>
            <w:tcW w:w="3574" w:type="dxa"/>
          </w:tcPr>
          <w:p w:rsidR="00854133" w:rsidRPr="00854133" w:rsidRDefault="00854133" w:rsidP="007330D2">
            <w:pPr>
              <w:spacing w:before="120" w:after="120"/>
              <w:rPr>
                <w:rFonts w:ascii="Arial" w:hAnsi="Arial" w:cs="Arial"/>
              </w:rPr>
            </w:pPr>
            <w:r>
              <w:rPr>
                <w:rFonts w:ascii="Arial" w:hAnsi="Arial" w:cs="Arial"/>
                <w:b/>
              </w:rPr>
              <w:t xml:space="preserve">Source of delegation: </w:t>
            </w:r>
          </w:p>
        </w:tc>
        <w:tc>
          <w:tcPr>
            <w:tcW w:w="6350" w:type="dxa"/>
          </w:tcPr>
          <w:p w:rsidR="004A049B" w:rsidRPr="00E20A54" w:rsidRDefault="007E700C" w:rsidP="007E700C">
            <w:pPr>
              <w:rPr>
                <w:rFonts w:ascii="Arial" w:hAnsi="Arial" w:cs="Arial"/>
              </w:rPr>
            </w:pPr>
            <w:r>
              <w:rPr>
                <w:rFonts w:ascii="Arial" w:hAnsi="Arial" w:cs="Arial"/>
              </w:rPr>
              <w:t>The City Executive Board (now Cabinet) on 10 April 2019 resolved to d</w:t>
            </w:r>
            <w:r w:rsidRPr="007E700C">
              <w:rPr>
                <w:rFonts w:ascii="Arial" w:hAnsi="Arial" w:cs="Arial"/>
              </w:rPr>
              <w:t>elegate authority to the Transition Director, in consultation with the Heads of</w:t>
            </w:r>
            <w:r>
              <w:rPr>
                <w:rFonts w:ascii="Arial" w:hAnsi="Arial" w:cs="Arial"/>
              </w:rPr>
              <w:t xml:space="preserve"> </w:t>
            </w:r>
            <w:r w:rsidRPr="007E700C">
              <w:rPr>
                <w:rFonts w:ascii="Arial" w:hAnsi="Arial" w:cs="Arial"/>
              </w:rPr>
              <w:t>Finance and Law and Governance, to negotiate and award any further</w:t>
            </w:r>
            <w:r>
              <w:rPr>
                <w:rFonts w:ascii="Arial" w:hAnsi="Arial" w:cs="Arial"/>
              </w:rPr>
              <w:t xml:space="preserve"> </w:t>
            </w:r>
            <w:r w:rsidRPr="007E700C">
              <w:rPr>
                <w:rFonts w:ascii="Arial" w:hAnsi="Arial" w:cs="Arial"/>
              </w:rPr>
              <w:t>contracts that are necessary for the successful delivery of the project</w:t>
            </w:r>
            <w:r w:rsidR="0021642E">
              <w:rPr>
                <w:rFonts w:ascii="Arial" w:hAnsi="Arial" w:cs="Arial"/>
              </w:rPr>
              <w:t>. The responsibilities of the Transition Director passed to the Head of Corporate Strategy in a restructure.</w:t>
            </w:r>
          </w:p>
        </w:tc>
      </w:tr>
      <w:tr w:rsidR="00B87695" w:rsidTr="007330D2">
        <w:tc>
          <w:tcPr>
            <w:tcW w:w="3574" w:type="dxa"/>
          </w:tcPr>
          <w:p w:rsidR="003B1236" w:rsidRPr="00B87695" w:rsidRDefault="00854133" w:rsidP="007330D2">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350" w:type="dxa"/>
          </w:tcPr>
          <w:p w:rsidR="006247C4" w:rsidRPr="00A96C08" w:rsidRDefault="007E700C" w:rsidP="00CB5E4F">
            <w:pPr>
              <w:rPr>
                <w:rFonts w:ascii="Arial" w:hAnsi="Arial" w:cs="Arial"/>
              </w:rPr>
            </w:pPr>
            <w:r>
              <w:rPr>
                <w:rFonts w:ascii="Arial" w:hAnsi="Arial" w:cs="Arial"/>
              </w:rPr>
              <w:t>To award a contract to Tesla for the provision of 12 DC charge points at Redbridge Park and Ride at zero cost to the Council for a contract period of 15 years with an option to extend for a further 5 years.</w:t>
            </w:r>
          </w:p>
        </w:tc>
      </w:tr>
      <w:tr w:rsidR="00373F5D" w:rsidTr="007330D2">
        <w:tc>
          <w:tcPr>
            <w:tcW w:w="3574" w:type="dxa"/>
          </w:tcPr>
          <w:p w:rsidR="00373F5D" w:rsidRPr="00373F5D" w:rsidRDefault="00373F5D" w:rsidP="007330D2">
            <w:pPr>
              <w:spacing w:before="120" w:after="120"/>
              <w:rPr>
                <w:rFonts w:ascii="Arial" w:hAnsi="Arial" w:cs="Arial"/>
              </w:rPr>
            </w:pPr>
            <w:r>
              <w:rPr>
                <w:rFonts w:ascii="Arial" w:hAnsi="Arial" w:cs="Arial"/>
                <w:b/>
              </w:rPr>
              <w:t xml:space="preserve">Purpose: </w:t>
            </w:r>
          </w:p>
        </w:tc>
        <w:tc>
          <w:tcPr>
            <w:tcW w:w="6350" w:type="dxa"/>
          </w:tcPr>
          <w:p w:rsidR="00373F5D" w:rsidRPr="00A96C08" w:rsidRDefault="007E700C" w:rsidP="00DF0D25">
            <w:pPr>
              <w:rPr>
                <w:rFonts w:ascii="Arial" w:hAnsi="Arial" w:cs="Arial"/>
              </w:rPr>
            </w:pPr>
            <w:r>
              <w:rPr>
                <w:rFonts w:ascii="Arial" w:hAnsi="Arial" w:cs="Arial"/>
              </w:rPr>
              <w:t xml:space="preserve">Supply </w:t>
            </w:r>
            <w:r w:rsidR="00DF0D25">
              <w:rPr>
                <w:rFonts w:ascii="Arial" w:hAnsi="Arial" w:cs="Arial"/>
              </w:rPr>
              <w:t>and</w:t>
            </w:r>
            <w:r>
              <w:rPr>
                <w:rFonts w:ascii="Arial" w:hAnsi="Arial" w:cs="Arial"/>
              </w:rPr>
              <w:t xml:space="preserve"> installation</w:t>
            </w:r>
            <w:r w:rsidR="00DF0D25">
              <w:rPr>
                <w:rFonts w:ascii="Arial" w:hAnsi="Arial" w:cs="Arial"/>
              </w:rPr>
              <w:t xml:space="preserve"> and operation and maintenance</w:t>
            </w:r>
            <w:r>
              <w:rPr>
                <w:rFonts w:ascii="Arial" w:hAnsi="Arial" w:cs="Arial"/>
              </w:rPr>
              <w:t xml:space="preserve"> </w:t>
            </w:r>
            <w:r w:rsidRPr="007E700C">
              <w:rPr>
                <w:rFonts w:ascii="Arial" w:hAnsi="Arial" w:cs="Arial"/>
              </w:rPr>
              <w:t>of 12 DC charge</w:t>
            </w:r>
            <w:r>
              <w:rPr>
                <w:rFonts w:ascii="Arial" w:hAnsi="Arial" w:cs="Arial"/>
              </w:rPr>
              <w:t xml:space="preserve"> </w:t>
            </w:r>
            <w:r w:rsidRPr="007E700C">
              <w:rPr>
                <w:rFonts w:ascii="Arial" w:hAnsi="Arial" w:cs="Arial"/>
              </w:rPr>
              <w:t xml:space="preserve">points </w:t>
            </w:r>
            <w:r>
              <w:rPr>
                <w:rFonts w:ascii="Arial" w:hAnsi="Arial" w:cs="Arial"/>
              </w:rPr>
              <w:t>at Redbridge Park and Ride</w:t>
            </w:r>
            <w:r w:rsidR="00DF0D25">
              <w:rPr>
                <w:rFonts w:ascii="Arial" w:hAnsi="Arial" w:cs="Arial"/>
              </w:rPr>
              <w:t xml:space="preserve"> under a concession contract</w:t>
            </w:r>
            <w:r>
              <w:rPr>
                <w:rFonts w:ascii="Arial" w:hAnsi="Arial" w:cs="Arial"/>
              </w:rPr>
              <w:t>.</w:t>
            </w:r>
          </w:p>
        </w:tc>
      </w:tr>
      <w:tr w:rsidR="00DC2E8D" w:rsidTr="007330D2">
        <w:tc>
          <w:tcPr>
            <w:tcW w:w="3574" w:type="dxa"/>
          </w:tcPr>
          <w:p w:rsidR="00DC2E8D" w:rsidRPr="008E4629" w:rsidRDefault="008E4629" w:rsidP="007330D2">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350" w:type="dxa"/>
          </w:tcPr>
          <w:p w:rsidR="007E700C" w:rsidRDefault="007E700C" w:rsidP="007E700C">
            <w:pPr>
              <w:rPr>
                <w:rFonts w:ascii="Arial" w:hAnsi="Arial" w:cs="Arial"/>
              </w:rPr>
            </w:pPr>
            <w:r w:rsidRPr="007E700C">
              <w:rPr>
                <w:rFonts w:ascii="Arial" w:hAnsi="Arial" w:cs="Arial"/>
              </w:rPr>
              <w:t xml:space="preserve">An open OJEU </w:t>
            </w:r>
            <w:r w:rsidR="00D47739">
              <w:rPr>
                <w:rFonts w:ascii="Arial" w:hAnsi="Arial" w:cs="Arial"/>
              </w:rPr>
              <w:t>t</w:t>
            </w:r>
            <w:r w:rsidRPr="007E700C">
              <w:rPr>
                <w:rFonts w:ascii="Arial" w:hAnsi="Arial" w:cs="Arial"/>
              </w:rPr>
              <w:t>ender was conducted on the South East Business Portal, although this is a concession contract,</w:t>
            </w:r>
            <w:r>
              <w:rPr>
                <w:rFonts w:ascii="Arial" w:hAnsi="Arial" w:cs="Arial"/>
              </w:rPr>
              <w:t xml:space="preserve"> legal</w:t>
            </w:r>
            <w:r w:rsidRPr="007E700C">
              <w:rPr>
                <w:rFonts w:ascii="Arial" w:hAnsi="Arial" w:cs="Arial"/>
              </w:rPr>
              <w:t xml:space="preserve"> advice recommended that to demonstrate best value an OJEU process should be undertaken.</w:t>
            </w:r>
          </w:p>
          <w:p w:rsidR="00D47739" w:rsidRDefault="00D47739" w:rsidP="007E700C">
            <w:pPr>
              <w:rPr>
                <w:rFonts w:ascii="Arial" w:hAnsi="Arial" w:cs="Arial"/>
              </w:rPr>
            </w:pPr>
          </w:p>
          <w:p w:rsidR="00D47739" w:rsidRDefault="00D47739" w:rsidP="007E700C">
            <w:pPr>
              <w:rPr>
                <w:rFonts w:ascii="Arial" w:hAnsi="Arial" w:cs="Arial"/>
              </w:rPr>
            </w:pPr>
            <w:r w:rsidRPr="00D47739">
              <w:rPr>
                <w:rFonts w:ascii="Arial" w:hAnsi="Arial" w:cs="Arial"/>
              </w:rPr>
              <w:t>The overall requirement was to obtain responses from potential suppliers that could match the ambition to create the largest EV charging hub in the UK, thus meeting qualitative and technical requirements as well as providing a future proof solution that could expand with the growth of the EV market and related charging demands.</w:t>
            </w:r>
          </w:p>
          <w:p w:rsidR="007E700C" w:rsidRPr="007E700C" w:rsidRDefault="007E700C" w:rsidP="007E700C">
            <w:pPr>
              <w:rPr>
                <w:rFonts w:ascii="Arial" w:hAnsi="Arial" w:cs="Arial"/>
              </w:rPr>
            </w:pPr>
          </w:p>
          <w:p w:rsidR="00CB5E4F" w:rsidRPr="00A96C08" w:rsidRDefault="007E700C" w:rsidP="007E700C">
            <w:pPr>
              <w:rPr>
                <w:rFonts w:ascii="Arial" w:hAnsi="Arial" w:cs="Arial"/>
              </w:rPr>
            </w:pPr>
            <w:r w:rsidRPr="007E700C">
              <w:rPr>
                <w:rFonts w:ascii="Arial" w:hAnsi="Arial" w:cs="Arial"/>
              </w:rPr>
              <w:t xml:space="preserve">The response from Tesla ensured a high quality, well planned solution that supported both the </w:t>
            </w:r>
            <w:proofErr w:type="spellStart"/>
            <w:r w:rsidRPr="007E700C">
              <w:rPr>
                <w:rFonts w:ascii="Arial" w:hAnsi="Arial" w:cs="Arial"/>
              </w:rPr>
              <w:t>Superhub</w:t>
            </w:r>
            <w:proofErr w:type="spellEnd"/>
            <w:r w:rsidRPr="007E700C">
              <w:rPr>
                <w:rFonts w:ascii="Arial" w:hAnsi="Arial" w:cs="Arial"/>
              </w:rPr>
              <w:t xml:space="preserve"> project requirements as well as the growing demand from Tesla drivers for a </w:t>
            </w:r>
            <w:proofErr w:type="spellStart"/>
            <w:r w:rsidRPr="007E700C">
              <w:rPr>
                <w:rFonts w:ascii="Arial" w:hAnsi="Arial" w:cs="Arial"/>
              </w:rPr>
              <w:t>chargepoint</w:t>
            </w:r>
            <w:proofErr w:type="spellEnd"/>
            <w:r w:rsidRPr="007E700C">
              <w:rPr>
                <w:rFonts w:ascii="Arial" w:hAnsi="Arial" w:cs="Arial"/>
              </w:rPr>
              <w:t xml:space="preserve"> infrastructure across Oxford.</w:t>
            </w:r>
          </w:p>
        </w:tc>
      </w:tr>
      <w:tr w:rsidR="00B87695" w:rsidTr="007330D2">
        <w:tc>
          <w:tcPr>
            <w:tcW w:w="3574" w:type="dxa"/>
          </w:tcPr>
          <w:p w:rsidR="00B87695" w:rsidRPr="00B87695" w:rsidRDefault="00B87695" w:rsidP="007330D2">
            <w:pPr>
              <w:spacing w:before="120" w:after="120"/>
              <w:rPr>
                <w:rFonts w:ascii="Arial" w:hAnsi="Arial" w:cs="Arial"/>
              </w:rPr>
            </w:pPr>
            <w:r w:rsidRPr="00B87695">
              <w:rPr>
                <w:rFonts w:ascii="Arial" w:hAnsi="Arial" w:cs="Arial"/>
                <w:b/>
              </w:rPr>
              <w:t xml:space="preserve">Decision made by: </w:t>
            </w:r>
          </w:p>
        </w:tc>
        <w:tc>
          <w:tcPr>
            <w:tcW w:w="6350" w:type="dxa"/>
          </w:tcPr>
          <w:p w:rsidR="00B87695" w:rsidRDefault="007E700C" w:rsidP="008A22C6">
            <w:pPr>
              <w:rPr>
                <w:rFonts w:ascii="Arial" w:hAnsi="Arial" w:cs="Arial"/>
              </w:rPr>
            </w:pPr>
            <w:r>
              <w:rPr>
                <w:rFonts w:ascii="Arial" w:hAnsi="Arial" w:cs="Arial"/>
              </w:rPr>
              <w:t xml:space="preserve">Mish </w:t>
            </w:r>
            <w:proofErr w:type="spellStart"/>
            <w:r>
              <w:rPr>
                <w:rFonts w:ascii="Arial" w:hAnsi="Arial" w:cs="Arial"/>
              </w:rPr>
              <w:t>Tullar</w:t>
            </w:r>
            <w:proofErr w:type="spellEnd"/>
            <w:r>
              <w:rPr>
                <w:rFonts w:ascii="Arial" w:hAnsi="Arial" w:cs="Arial"/>
              </w:rPr>
              <w:t>, Head of Corporate Strategy</w:t>
            </w:r>
          </w:p>
          <w:p w:rsidR="00DF0D25" w:rsidRDefault="00DF0D25" w:rsidP="008A22C6">
            <w:pPr>
              <w:rPr>
                <w:rFonts w:ascii="Arial" w:hAnsi="Arial" w:cs="Arial"/>
              </w:rPr>
            </w:pPr>
          </w:p>
          <w:p w:rsidR="00DF0D25" w:rsidRDefault="00DF0D25" w:rsidP="008A22C6">
            <w:pPr>
              <w:rPr>
                <w:rFonts w:ascii="Arial" w:hAnsi="Arial" w:cs="Arial"/>
              </w:rPr>
            </w:pPr>
            <w:r>
              <w:rPr>
                <w:rFonts w:ascii="Arial" w:hAnsi="Arial" w:cs="Arial"/>
              </w:rPr>
              <w:t>Decision taken in consultation with:</w:t>
            </w:r>
          </w:p>
          <w:p w:rsidR="00DF0D25" w:rsidRDefault="00DF0D25" w:rsidP="008A22C6">
            <w:pPr>
              <w:rPr>
                <w:rFonts w:ascii="Arial" w:hAnsi="Arial" w:cs="Arial"/>
              </w:rPr>
            </w:pPr>
          </w:p>
          <w:p w:rsidR="00DF0D25" w:rsidRDefault="00DF0D25" w:rsidP="008A22C6">
            <w:pPr>
              <w:rPr>
                <w:rFonts w:ascii="Arial" w:hAnsi="Arial" w:cs="Arial"/>
              </w:rPr>
            </w:pPr>
            <w:r>
              <w:rPr>
                <w:rFonts w:ascii="Arial" w:hAnsi="Arial" w:cs="Arial"/>
              </w:rPr>
              <w:t>Jane Winfield, Head of Corporate Property;</w:t>
            </w:r>
          </w:p>
          <w:p w:rsidR="00DF0D25" w:rsidRDefault="00DF0D25" w:rsidP="008A22C6">
            <w:pPr>
              <w:rPr>
                <w:rFonts w:ascii="Arial" w:hAnsi="Arial" w:cs="Arial"/>
              </w:rPr>
            </w:pPr>
            <w:r>
              <w:rPr>
                <w:rFonts w:ascii="Arial" w:hAnsi="Arial" w:cs="Arial"/>
              </w:rPr>
              <w:t>Nigel Kennedy, Head of Financial Services;</w:t>
            </w:r>
          </w:p>
          <w:p w:rsidR="00DF0D25" w:rsidRPr="00A96C08" w:rsidRDefault="00DF0D25" w:rsidP="008A22C6">
            <w:pPr>
              <w:rPr>
                <w:rFonts w:ascii="Arial" w:hAnsi="Arial" w:cs="Arial"/>
              </w:rPr>
            </w:pPr>
            <w:r>
              <w:rPr>
                <w:rFonts w:ascii="Arial" w:hAnsi="Arial" w:cs="Arial"/>
              </w:rPr>
              <w:t>Susan Sale, Head of Law and Governance.</w:t>
            </w:r>
          </w:p>
        </w:tc>
      </w:tr>
      <w:tr w:rsidR="006F6326" w:rsidTr="007330D2">
        <w:tc>
          <w:tcPr>
            <w:tcW w:w="3574" w:type="dxa"/>
          </w:tcPr>
          <w:p w:rsidR="006F6326" w:rsidRDefault="006F6326" w:rsidP="007330D2">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350" w:type="dxa"/>
          </w:tcPr>
          <w:p w:rsidR="00263039" w:rsidRPr="00A96C08" w:rsidRDefault="00D47739" w:rsidP="00DD1A34">
            <w:pPr>
              <w:rPr>
                <w:rFonts w:ascii="Arial" w:hAnsi="Arial" w:cs="Arial"/>
              </w:rPr>
            </w:pPr>
            <w:r w:rsidRPr="00D47739">
              <w:rPr>
                <w:rFonts w:ascii="Arial" w:hAnsi="Arial" w:cs="Arial"/>
              </w:rPr>
              <w:t>The do nothing option to choose not to deliver the programme was available, but was effectively ruled out after the City Executive Board decided to deliver the programme.</w:t>
            </w:r>
          </w:p>
        </w:tc>
      </w:tr>
      <w:tr w:rsidR="006F6326" w:rsidTr="007330D2">
        <w:trPr>
          <w:trHeight w:val="1018"/>
        </w:trPr>
        <w:tc>
          <w:tcPr>
            <w:tcW w:w="3574" w:type="dxa"/>
          </w:tcPr>
          <w:p w:rsidR="00C678ED" w:rsidRPr="00C678ED" w:rsidRDefault="006F6326" w:rsidP="007330D2">
            <w:pPr>
              <w:spacing w:before="120"/>
              <w:rPr>
                <w:rFonts w:ascii="Arial" w:hAnsi="Arial" w:cs="Arial"/>
              </w:rPr>
            </w:pPr>
            <w:r w:rsidRPr="00335A9B">
              <w:rPr>
                <w:rFonts w:ascii="Arial" w:hAnsi="Arial" w:cs="Arial"/>
                <w:b/>
              </w:rPr>
              <w:lastRenderedPageBreak/>
              <w:t>Documents considered</w:t>
            </w:r>
            <w:r w:rsidR="00AC5899">
              <w:rPr>
                <w:rFonts w:ascii="Arial" w:hAnsi="Arial" w:cs="Arial"/>
                <w:b/>
              </w:rPr>
              <w:t>:</w:t>
            </w:r>
            <w:r w:rsidRPr="006F6326">
              <w:rPr>
                <w:rFonts w:ascii="Arial" w:hAnsi="Arial" w:cs="Arial"/>
                <w:i/>
              </w:rPr>
              <w:t xml:space="preserve"> </w:t>
            </w:r>
          </w:p>
        </w:tc>
        <w:tc>
          <w:tcPr>
            <w:tcW w:w="6350" w:type="dxa"/>
          </w:tcPr>
          <w:p w:rsidR="00DF0D25" w:rsidRPr="00DF0D25" w:rsidRDefault="00DF0D25" w:rsidP="00DF0D25">
            <w:pPr>
              <w:rPr>
                <w:rFonts w:ascii="Arial" w:hAnsi="Arial" w:cs="Arial"/>
              </w:rPr>
            </w:pPr>
            <w:r w:rsidRPr="00DF0D25">
              <w:rPr>
                <w:rFonts w:ascii="Arial" w:hAnsi="Arial" w:cs="Arial"/>
              </w:rPr>
              <w:t>Report to the City Executive Board on 10 April 2019.</w:t>
            </w:r>
          </w:p>
          <w:p w:rsidR="006F6326" w:rsidRPr="00A96C08" w:rsidRDefault="00DF0D25" w:rsidP="00DF0D25">
            <w:pPr>
              <w:rPr>
                <w:rFonts w:ascii="Arial" w:hAnsi="Arial" w:cs="Arial"/>
              </w:rPr>
            </w:pPr>
            <w:r w:rsidRPr="00DF0D25">
              <w:rPr>
                <w:rFonts w:ascii="Arial" w:hAnsi="Arial" w:cs="Arial"/>
              </w:rPr>
              <w:t>Request to award contract report.</w:t>
            </w:r>
          </w:p>
        </w:tc>
      </w:tr>
      <w:tr w:rsidR="006F6326" w:rsidTr="007330D2">
        <w:tc>
          <w:tcPr>
            <w:tcW w:w="3574" w:type="dxa"/>
          </w:tcPr>
          <w:p w:rsidR="003505E0" w:rsidRDefault="003505E0" w:rsidP="007330D2">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350" w:type="dxa"/>
          </w:tcPr>
          <w:p w:rsidR="007E700C" w:rsidRPr="00A96C08" w:rsidRDefault="00DF0D25" w:rsidP="008A22C6">
            <w:pPr>
              <w:rPr>
                <w:rFonts w:ascii="Arial" w:hAnsi="Arial" w:cs="Arial"/>
              </w:rPr>
            </w:pPr>
            <w:r>
              <w:rPr>
                <w:rFonts w:ascii="Arial" w:hAnsi="Arial" w:cs="Arial"/>
              </w:rPr>
              <w:t>Not key</w:t>
            </w:r>
          </w:p>
        </w:tc>
      </w:tr>
      <w:tr w:rsidR="006F6326" w:rsidTr="007330D2">
        <w:tc>
          <w:tcPr>
            <w:tcW w:w="3574" w:type="dxa"/>
          </w:tcPr>
          <w:p w:rsidR="006F6326" w:rsidRPr="008E4629" w:rsidRDefault="006F6326" w:rsidP="007330D2">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350" w:type="dxa"/>
          </w:tcPr>
          <w:p w:rsidR="006F6326" w:rsidRPr="00A96C08" w:rsidRDefault="00DF0D25" w:rsidP="008A22C6">
            <w:pPr>
              <w:rPr>
                <w:rFonts w:ascii="Arial" w:hAnsi="Arial" w:cs="Arial"/>
              </w:rPr>
            </w:pPr>
            <w:r>
              <w:rPr>
                <w:rFonts w:ascii="Arial" w:hAnsi="Arial" w:cs="Arial"/>
              </w:rPr>
              <w:t>None</w:t>
            </w:r>
          </w:p>
        </w:tc>
      </w:tr>
      <w:tr w:rsidR="006F6326" w:rsidTr="007330D2">
        <w:tc>
          <w:tcPr>
            <w:tcW w:w="3574" w:type="dxa"/>
          </w:tcPr>
          <w:p w:rsidR="006F6326" w:rsidRPr="006F6326" w:rsidRDefault="006F6326" w:rsidP="007330D2">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350" w:type="dxa"/>
          </w:tcPr>
          <w:p w:rsidR="006F6326" w:rsidRPr="00A96C08" w:rsidRDefault="00DF0D25" w:rsidP="008A22C6">
            <w:pPr>
              <w:rPr>
                <w:rFonts w:ascii="Arial" w:hAnsi="Arial" w:cs="Arial"/>
              </w:rPr>
            </w:pPr>
            <w:r>
              <w:rPr>
                <w:rFonts w:ascii="Arial" w:hAnsi="Arial" w:cs="Arial"/>
              </w:rPr>
              <w:t>None</w:t>
            </w:r>
          </w:p>
        </w:tc>
      </w:tr>
      <w:tr w:rsidR="00B87695" w:rsidTr="007330D2">
        <w:tc>
          <w:tcPr>
            <w:tcW w:w="3574"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350" w:type="dxa"/>
          </w:tcPr>
          <w:p w:rsidR="004A049B" w:rsidRDefault="00DF0D25" w:rsidP="008A22C6">
            <w:pPr>
              <w:rPr>
                <w:rFonts w:ascii="Arial" w:hAnsi="Arial" w:cs="Arial"/>
              </w:rPr>
            </w:pPr>
            <w:r>
              <w:rPr>
                <w:rFonts w:ascii="Arial" w:hAnsi="Arial" w:cs="Arial"/>
              </w:rPr>
              <w:t>Andrew Brown</w:t>
            </w:r>
          </w:p>
          <w:p w:rsidR="00DF0D25" w:rsidRDefault="00DF0D25" w:rsidP="008A22C6">
            <w:pPr>
              <w:rPr>
                <w:rFonts w:ascii="Arial" w:hAnsi="Arial" w:cs="Arial"/>
              </w:rPr>
            </w:pPr>
            <w:r>
              <w:rPr>
                <w:rFonts w:ascii="Arial" w:hAnsi="Arial" w:cs="Arial"/>
              </w:rPr>
              <w:t>Committee and Member Services Manager</w:t>
            </w:r>
          </w:p>
          <w:p w:rsidR="00DF0D25" w:rsidRPr="00A96C08" w:rsidRDefault="00DF0D25" w:rsidP="008A22C6">
            <w:pPr>
              <w:rPr>
                <w:rFonts w:ascii="Arial" w:hAnsi="Arial" w:cs="Arial"/>
              </w:rPr>
            </w:pPr>
            <w:r>
              <w:rPr>
                <w:rFonts w:ascii="Arial" w:hAnsi="Arial" w:cs="Arial"/>
              </w:rPr>
              <w:t>16 November 2021</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rsidTr="00DF0D25">
        <w:trPr>
          <w:trHeight w:val="516"/>
        </w:trPr>
        <w:tc>
          <w:tcPr>
            <w:tcW w:w="3403"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4536"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DF0D25">
        <w:trPr>
          <w:trHeight w:val="516"/>
        </w:trPr>
        <w:tc>
          <w:tcPr>
            <w:tcW w:w="3403"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4536" w:type="dxa"/>
            <w:vAlign w:val="center"/>
          </w:tcPr>
          <w:p w:rsidR="005C60B2" w:rsidRDefault="00DF0D25" w:rsidP="005C60B2">
            <w:pPr>
              <w:rPr>
                <w:rFonts w:ascii="Arial" w:hAnsi="Arial" w:cs="Arial"/>
              </w:rPr>
            </w:pPr>
            <w:r>
              <w:rPr>
                <w:rFonts w:ascii="Arial" w:hAnsi="Arial" w:cs="Arial"/>
              </w:rPr>
              <w:t xml:space="preserve">Mish </w:t>
            </w:r>
            <w:proofErr w:type="spellStart"/>
            <w:r>
              <w:rPr>
                <w:rFonts w:ascii="Arial" w:hAnsi="Arial" w:cs="Arial"/>
              </w:rPr>
              <w:t>Tullar</w:t>
            </w:r>
            <w:proofErr w:type="spellEnd"/>
            <w:r>
              <w:rPr>
                <w:rFonts w:ascii="Arial" w:hAnsi="Arial" w:cs="Arial"/>
              </w:rPr>
              <w:t>, Head of Corporate Strategy</w:t>
            </w:r>
          </w:p>
          <w:p w:rsidR="00985775" w:rsidRPr="005C60B2" w:rsidRDefault="00985775" w:rsidP="005C60B2">
            <w:pPr>
              <w:rPr>
                <w:rFonts w:ascii="Arial" w:hAnsi="Arial" w:cs="Arial"/>
              </w:rPr>
            </w:pPr>
            <w:r>
              <w:rPr>
                <w:noProof/>
              </w:rPr>
              <w:drawing>
                <wp:inline distT="0" distB="0" distL="0" distR="0" wp14:anchorId="2DFA4383" wp14:editId="74FCC0F7">
                  <wp:extent cx="1809750" cy="723900"/>
                  <wp:effectExtent l="0" t="0" r="0" b="0"/>
                  <wp:docPr id="5" name="Picture 5" descr="cid:image002.png@01D77321.2FD17490"/>
                  <wp:cNvGraphicFramePr/>
                  <a:graphic xmlns:a="http://schemas.openxmlformats.org/drawingml/2006/main">
                    <a:graphicData uri="http://schemas.openxmlformats.org/drawingml/2006/picture">
                      <pic:pic xmlns:pic="http://schemas.openxmlformats.org/drawingml/2006/picture">
                        <pic:nvPicPr>
                          <pic:cNvPr id="5" name="Picture 5" descr="cid:image002.png@01D77321.2FD174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9750" cy="723900"/>
                          </a:xfrm>
                          <a:prstGeom prst="rect">
                            <a:avLst/>
                          </a:prstGeom>
                          <a:noFill/>
                          <a:ln>
                            <a:noFill/>
                          </a:ln>
                        </pic:spPr>
                      </pic:pic>
                    </a:graphicData>
                  </a:graphic>
                </wp:inline>
              </w:drawing>
            </w:r>
          </w:p>
        </w:tc>
        <w:tc>
          <w:tcPr>
            <w:tcW w:w="1984" w:type="dxa"/>
            <w:vAlign w:val="center"/>
          </w:tcPr>
          <w:p w:rsidR="005C60B2" w:rsidRPr="005C60B2" w:rsidRDefault="000C585A" w:rsidP="005C60B2">
            <w:pPr>
              <w:rPr>
                <w:rFonts w:ascii="Arial" w:hAnsi="Arial" w:cs="Arial"/>
              </w:rPr>
            </w:pPr>
            <w:r>
              <w:rPr>
                <w:rFonts w:ascii="Arial" w:hAnsi="Arial" w:cs="Arial"/>
              </w:rPr>
              <w:t>16 November 2021</w:t>
            </w:r>
          </w:p>
        </w:tc>
      </w:tr>
    </w:tbl>
    <w:p w:rsidR="005C60B2" w:rsidRPr="005C60B2" w:rsidRDefault="005C60B2" w:rsidP="005C60B2">
      <w:pPr>
        <w:rPr>
          <w:rFonts w:ascii="Arial" w:hAnsi="Arial" w:cs="Arial"/>
        </w:rPr>
      </w:pPr>
    </w:p>
    <w:p w:rsidR="005C60B2" w:rsidRPr="005C60B2" w:rsidRDefault="005C60B2" w:rsidP="005C60B2">
      <w:pPr>
        <w:rPr>
          <w:rFonts w:ascii="Arial" w:hAnsi="Arial" w:cs="Arial"/>
          <w:b/>
        </w:rPr>
      </w:pPr>
      <w:r w:rsidRPr="005C60B2">
        <w:rPr>
          <w:rFonts w:ascii="Arial" w:hAnsi="Arial" w:cs="Arial"/>
          <w:b/>
        </w:rPr>
        <w:t>Consultee checklist</w:t>
      </w:r>
    </w:p>
    <w:p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rsidTr="005C60B2">
        <w:trPr>
          <w:trHeight w:val="516"/>
        </w:trPr>
        <w:tc>
          <w:tcPr>
            <w:tcW w:w="3403" w:type="dxa"/>
          </w:tcPr>
          <w:p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DF0D25">
        <w:trPr>
          <w:trHeight w:val="516"/>
        </w:trPr>
        <w:tc>
          <w:tcPr>
            <w:tcW w:w="3403" w:type="dxa"/>
            <w:vAlign w:val="center"/>
          </w:tcPr>
          <w:p w:rsidR="005C60B2" w:rsidRDefault="005C60B2" w:rsidP="005C60B2">
            <w:pPr>
              <w:spacing w:before="120" w:after="120"/>
              <w:rPr>
                <w:rFonts w:ascii="Arial" w:hAnsi="Arial" w:cs="Arial"/>
                <w:b/>
              </w:rPr>
            </w:pPr>
            <w:r w:rsidRPr="005C60B2">
              <w:rPr>
                <w:rFonts w:ascii="Arial" w:hAnsi="Arial" w:cs="Arial"/>
                <w:b/>
              </w:rPr>
              <w:t>Senior officer</w:t>
            </w:r>
          </w:p>
          <w:p w:rsidR="005C60B2" w:rsidRPr="005C60B2" w:rsidRDefault="005C60B2" w:rsidP="005C60B2">
            <w:pPr>
              <w:spacing w:before="120" w:after="120"/>
              <w:rPr>
                <w:rFonts w:ascii="Arial" w:hAnsi="Arial" w:cs="Arial"/>
              </w:rPr>
            </w:pPr>
          </w:p>
        </w:tc>
        <w:tc>
          <w:tcPr>
            <w:tcW w:w="4536" w:type="dxa"/>
            <w:vAlign w:val="center"/>
          </w:tcPr>
          <w:p w:rsidR="005C60B2" w:rsidRDefault="00DF0D25" w:rsidP="00DF0D25">
            <w:pPr>
              <w:rPr>
                <w:rFonts w:ascii="Arial" w:hAnsi="Arial" w:cs="Arial"/>
              </w:rPr>
            </w:pPr>
            <w:r>
              <w:rPr>
                <w:rFonts w:ascii="Arial" w:hAnsi="Arial" w:cs="Arial"/>
              </w:rPr>
              <w:t>Jane Winfield, Head of Corporate Property</w:t>
            </w:r>
          </w:p>
          <w:p w:rsidR="00985775" w:rsidRPr="005C60B2" w:rsidRDefault="00985775" w:rsidP="00DF0D25">
            <w:pPr>
              <w:rPr>
                <w:rFonts w:ascii="Arial" w:hAnsi="Arial" w:cs="Arial"/>
              </w:rPr>
            </w:pPr>
            <w:r>
              <w:rPr>
                <w:noProof/>
              </w:rPr>
              <w:drawing>
                <wp:inline distT="0" distB="0" distL="0" distR="0" wp14:anchorId="2D0064EC" wp14:editId="5A1C6FD0">
                  <wp:extent cx="1974850" cy="723900"/>
                  <wp:effectExtent l="0" t="0" r="6350" b="0"/>
                  <wp:docPr id="8" name="Picture 8" descr="C:\Users\jmitchell\AppData\Local\Microsoft\Windows\INetCache\Content.Outlook\JEVXX3BB\Jane's signature(4).jpg"/>
                  <wp:cNvGraphicFramePr/>
                  <a:graphic xmlns:a="http://schemas.openxmlformats.org/drawingml/2006/main">
                    <a:graphicData uri="http://schemas.openxmlformats.org/drawingml/2006/picture">
                      <pic:pic xmlns:pic="http://schemas.openxmlformats.org/drawingml/2006/picture">
                        <pic:nvPicPr>
                          <pic:cNvPr id="8" name="Picture 8" descr="C:\Users\jmitchell\AppData\Local\Microsoft\Windows\INetCache\Content.Outlook\JEVXX3BB\Jane's signature(4).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850" cy="723900"/>
                          </a:xfrm>
                          <a:prstGeom prst="rect">
                            <a:avLst/>
                          </a:prstGeom>
                          <a:noFill/>
                          <a:ln>
                            <a:noFill/>
                          </a:ln>
                        </pic:spPr>
                      </pic:pic>
                    </a:graphicData>
                  </a:graphic>
                </wp:inline>
              </w:drawing>
            </w:r>
          </w:p>
        </w:tc>
        <w:tc>
          <w:tcPr>
            <w:tcW w:w="1984" w:type="dxa"/>
            <w:vAlign w:val="center"/>
          </w:tcPr>
          <w:p w:rsidR="005C60B2" w:rsidRPr="005C60B2" w:rsidRDefault="000C585A" w:rsidP="00DF0D25">
            <w:pPr>
              <w:rPr>
                <w:rFonts w:ascii="Arial" w:hAnsi="Arial" w:cs="Arial"/>
              </w:rPr>
            </w:pPr>
            <w:r>
              <w:rPr>
                <w:rFonts w:ascii="Arial" w:hAnsi="Arial" w:cs="Arial"/>
              </w:rPr>
              <w:t>5 November 2021</w:t>
            </w:r>
          </w:p>
        </w:tc>
      </w:tr>
      <w:tr w:rsidR="005C60B2" w:rsidRPr="005C60B2" w:rsidTr="00DF0D25">
        <w:trPr>
          <w:trHeight w:val="1161"/>
        </w:trPr>
        <w:tc>
          <w:tcPr>
            <w:tcW w:w="3403" w:type="dxa"/>
          </w:tcPr>
          <w:p w:rsidR="005C60B2" w:rsidRDefault="005C60B2" w:rsidP="005C60B2">
            <w:pPr>
              <w:spacing w:before="120"/>
              <w:rPr>
                <w:rFonts w:ascii="Arial" w:hAnsi="Arial" w:cs="Arial"/>
                <w:b/>
              </w:rPr>
            </w:pPr>
            <w:r w:rsidRPr="005C60B2">
              <w:rPr>
                <w:rFonts w:ascii="Arial" w:hAnsi="Arial" w:cs="Arial"/>
                <w:b/>
              </w:rPr>
              <w:t>Head of Financial Services</w:t>
            </w:r>
          </w:p>
          <w:p w:rsidR="005C60B2" w:rsidRPr="005C60B2" w:rsidRDefault="005C60B2" w:rsidP="005C60B2">
            <w:pPr>
              <w:spacing w:before="120"/>
              <w:rPr>
                <w:rFonts w:ascii="Arial" w:hAnsi="Arial" w:cs="Arial"/>
              </w:rPr>
            </w:pPr>
          </w:p>
        </w:tc>
        <w:tc>
          <w:tcPr>
            <w:tcW w:w="4536" w:type="dxa"/>
            <w:vAlign w:val="center"/>
          </w:tcPr>
          <w:p w:rsidR="005C60B2" w:rsidRDefault="00DF0D25" w:rsidP="00DF0D25">
            <w:pPr>
              <w:rPr>
                <w:rFonts w:ascii="Arial" w:hAnsi="Arial" w:cs="Arial"/>
              </w:rPr>
            </w:pPr>
            <w:r>
              <w:rPr>
                <w:rFonts w:ascii="Arial" w:hAnsi="Arial" w:cs="Arial"/>
              </w:rPr>
              <w:t>Nigel Kennedy, Head of Financial Services</w:t>
            </w:r>
          </w:p>
          <w:p w:rsidR="00985775" w:rsidRPr="005C60B2" w:rsidRDefault="00985775" w:rsidP="00DF0D25">
            <w:pPr>
              <w:rPr>
                <w:rFonts w:ascii="Arial" w:hAnsi="Arial" w:cs="Arial"/>
              </w:rPr>
            </w:pPr>
            <w:r>
              <w:rPr>
                <w:noProof/>
              </w:rPr>
              <w:drawing>
                <wp:inline distT="0" distB="0" distL="0" distR="0" wp14:anchorId="0F4977DB" wp14:editId="1087C549">
                  <wp:extent cx="1113155" cy="8426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rsidR="005C60B2" w:rsidRPr="005C60B2" w:rsidRDefault="00DF0D25" w:rsidP="00DF0D25">
            <w:pPr>
              <w:rPr>
                <w:rFonts w:ascii="Arial" w:hAnsi="Arial" w:cs="Arial"/>
              </w:rPr>
            </w:pPr>
            <w:r>
              <w:rPr>
                <w:rFonts w:ascii="Arial" w:hAnsi="Arial" w:cs="Arial"/>
              </w:rPr>
              <w:t>11 November 2021</w:t>
            </w:r>
          </w:p>
        </w:tc>
      </w:tr>
      <w:tr w:rsidR="005C60B2" w:rsidRPr="005C60B2" w:rsidTr="00DF0D25">
        <w:trPr>
          <w:trHeight w:val="834"/>
        </w:trPr>
        <w:tc>
          <w:tcPr>
            <w:tcW w:w="3403" w:type="dxa"/>
          </w:tcPr>
          <w:p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rsidR="005C60B2" w:rsidRPr="005C60B2" w:rsidRDefault="005C60B2" w:rsidP="005C60B2">
            <w:pPr>
              <w:spacing w:before="120" w:after="120"/>
              <w:rPr>
                <w:rFonts w:ascii="Arial" w:hAnsi="Arial" w:cs="Arial"/>
              </w:rPr>
            </w:pPr>
          </w:p>
        </w:tc>
        <w:tc>
          <w:tcPr>
            <w:tcW w:w="4536" w:type="dxa"/>
            <w:vAlign w:val="center"/>
          </w:tcPr>
          <w:p w:rsidR="005C60B2" w:rsidRDefault="00DF0D25" w:rsidP="00DF0D25">
            <w:pPr>
              <w:rPr>
                <w:rFonts w:ascii="Arial" w:hAnsi="Arial" w:cs="Arial"/>
              </w:rPr>
            </w:pPr>
            <w:r>
              <w:rPr>
                <w:rFonts w:ascii="Arial" w:hAnsi="Arial" w:cs="Arial"/>
              </w:rPr>
              <w:t>Susan Sale, Head of Law and Governance</w:t>
            </w:r>
          </w:p>
          <w:p w:rsidR="00985775" w:rsidRPr="005C60B2" w:rsidRDefault="00985775" w:rsidP="00DF0D25">
            <w:pPr>
              <w:rPr>
                <w:rFonts w:ascii="Arial" w:hAnsi="Arial" w:cs="Arial"/>
              </w:rPr>
            </w:pPr>
            <w:r>
              <w:rPr>
                <w:noProof/>
              </w:rPr>
              <w:drawing>
                <wp:inline distT="0" distB="0" distL="0" distR="0" wp14:anchorId="5F8AC71F" wp14:editId="6A05EB11">
                  <wp:extent cx="1889760" cy="7848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1889760" cy="784860"/>
                          </a:xfrm>
                          <a:prstGeom prst="rect">
                            <a:avLst/>
                          </a:prstGeom>
                        </pic:spPr>
                      </pic:pic>
                    </a:graphicData>
                  </a:graphic>
                </wp:inline>
              </w:drawing>
            </w:r>
            <w:bookmarkStart w:id="0" w:name="_GoBack"/>
            <w:bookmarkEnd w:id="0"/>
          </w:p>
        </w:tc>
        <w:tc>
          <w:tcPr>
            <w:tcW w:w="1984" w:type="dxa"/>
            <w:vAlign w:val="center"/>
          </w:tcPr>
          <w:p w:rsidR="005C60B2" w:rsidRPr="005C60B2" w:rsidRDefault="00DF0D25" w:rsidP="00DF0D25">
            <w:pPr>
              <w:rPr>
                <w:rFonts w:ascii="Arial" w:hAnsi="Arial" w:cs="Arial"/>
              </w:rPr>
            </w:pPr>
            <w:r>
              <w:rPr>
                <w:rFonts w:ascii="Arial" w:hAnsi="Arial" w:cs="Arial"/>
              </w:rPr>
              <w:t>16 November 2021</w:t>
            </w:r>
          </w:p>
        </w:tc>
      </w:tr>
    </w:tbl>
    <w:p w:rsidR="005C60B2" w:rsidRPr="005C60B2" w:rsidRDefault="005C60B2" w:rsidP="005C60B2">
      <w:pPr>
        <w:ind w:left="-426"/>
        <w:rPr>
          <w:rFonts w:ascii="Arial" w:hAnsi="Arial" w:cs="Arial"/>
        </w:rPr>
      </w:pPr>
    </w:p>
    <w:p w:rsidR="005C60B2" w:rsidRDefault="005C60B2" w:rsidP="002611EB">
      <w:pPr>
        <w:rPr>
          <w:rFonts w:ascii="Arial" w:hAnsi="Arial" w:cs="Arial"/>
          <w:b/>
        </w:rPr>
      </w:pPr>
    </w:p>
    <w:p w:rsidR="005C60B2" w:rsidRDefault="005C60B2" w:rsidP="002611EB">
      <w:pPr>
        <w:rPr>
          <w:rFonts w:ascii="Arial" w:hAnsi="Arial" w:cs="Arial"/>
          <w:b/>
        </w:rPr>
      </w:pPr>
    </w:p>
    <w:sectPr w:rsidR="005C60B2"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C585A"/>
    <w:rsid w:val="000F4239"/>
    <w:rsid w:val="001A416A"/>
    <w:rsid w:val="0021642E"/>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A049B"/>
    <w:rsid w:val="004B1944"/>
    <w:rsid w:val="00504E43"/>
    <w:rsid w:val="00532DF2"/>
    <w:rsid w:val="005C60B2"/>
    <w:rsid w:val="005C6416"/>
    <w:rsid w:val="005E37E4"/>
    <w:rsid w:val="00616F3F"/>
    <w:rsid w:val="006247C4"/>
    <w:rsid w:val="006F6326"/>
    <w:rsid w:val="006F6731"/>
    <w:rsid w:val="007023AB"/>
    <w:rsid w:val="007330D2"/>
    <w:rsid w:val="007908F4"/>
    <w:rsid w:val="007D270E"/>
    <w:rsid w:val="007E700C"/>
    <w:rsid w:val="00801BEB"/>
    <w:rsid w:val="00804BF2"/>
    <w:rsid w:val="00834D72"/>
    <w:rsid w:val="00844D21"/>
    <w:rsid w:val="00854133"/>
    <w:rsid w:val="008613FB"/>
    <w:rsid w:val="008676E5"/>
    <w:rsid w:val="008900A7"/>
    <w:rsid w:val="00891B19"/>
    <w:rsid w:val="008A22C6"/>
    <w:rsid w:val="008E4629"/>
    <w:rsid w:val="00985775"/>
    <w:rsid w:val="00986C99"/>
    <w:rsid w:val="009F048F"/>
    <w:rsid w:val="009F6401"/>
    <w:rsid w:val="00A12928"/>
    <w:rsid w:val="00A253FE"/>
    <w:rsid w:val="00A96C08"/>
    <w:rsid w:val="00AC5899"/>
    <w:rsid w:val="00B15340"/>
    <w:rsid w:val="00B87695"/>
    <w:rsid w:val="00B928EF"/>
    <w:rsid w:val="00BD4490"/>
    <w:rsid w:val="00BE1FD4"/>
    <w:rsid w:val="00BF240D"/>
    <w:rsid w:val="00C07F80"/>
    <w:rsid w:val="00C251F7"/>
    <w:rsid w:val="00C6130E"/>
    <w:rsid w:val="00C678ED"/>
    <w:rsid w:val="00CB5E4F"/>
    <w:rsid w:val="00CD4BC9"/>
    <w:rsid w:val="00CE6085"/>
    <w:rsid w:val="00D33F83"/>
    <w:rsid w:val="00D47739"/>
    <w:rsid w:val="00D543D9"/>
    <w:rsid w:val="00DB01D4"/>
    <w:rsid w:val="00DC2E8D"/>
    <w:rsid w:val="00DD1A34"/>
    <w:rsid w:val="00DD4885"/>
    <w:rsid w:val="00DD51B2"/>
    <w:rsid w:val="00DF0D25"/>
    <w:rsid w:val="00E127E3"/>
    <w:rsid w:val="00E20A54"/>
    <w:rsid w:val="00E23F49"/>
    <w:rsid w:val="00E270E5"/>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345442614">
      <w:bodyDiv w:val="1"/>
      <w:marLeft w:val="0"/>
      <w:marRight w:val="0"/>
      <w:marTop w:val="0"/>
      <w:marBottom w:val="0"/>
      <w:divBdr>
        <w:top w:val="none" w:sz="0" w:space="0" w:color="auto"/>
        <w:left w:val="none" w:sz="0" w:space="0" w:color="auto"/>
        <w:bottom w:val="none" w:sz="0" w:space="0" w:color="auto"/>
        <w:right w:val="none" w:sz="0" w:space="0" w:color="auto"/>
      </w:divBdr>
    </w:div>
    <w:div w:id="4068772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55701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png@01D77321.2FD174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9067-F0DF-4108-80BF-0706F621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AA343296</Template>
  <TotalTime>19</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MITCHELL John</cp:lastModifiedBy>
  <cp:revision>9</cp:revision>
  <cp:lastPrinted>2015-07-27T09:35:00Z</cp:lastPrinted>
  <dcterms:created xsi:type="dcterms:W3CDTF">2021-09-29T10:29:00Z</dcterms:created>
  <dcterms:modified xsi:type="dcterms:W3CDTF">2021-11-17T18:37:00Z</dcterms:modified>
</cp:coreProperties>
</file>